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48" w:rsidRDefault="004A5B48" w:rsidP="004A5B48">
      <w:pPr>
        <w:jc w:val="center"/>
        <w:rPr>
          <w:rFonts w:ascii="Times New Roman" w:hAnsi="Times New Roman" w:cs="Times New Roman"/>
          <w:b/>
          <w:sz w:val="40"/>
        </w:rPr>
      </w:pPr>
    </w:p>
    <w:p w:rsidR="004A5B48" w:rsidRDefault="004A5B48" w:rsidP="004A5B48">
      <w:pPr>
        <w:jc w:val="center"/>
        <w:rPr>
          <w:rFonts w:ascii="Times New Roman" w:hAnsi="Times New Roman" w:cs="Times New Roman"/>
          <w:b/>
          <w:sz w:val="40"/>
        </w:rPr>
      </w:pPr>
    </w:p>
    <w:p w:rsidR="004A5B48" w:rsidRDefault="004A5B48" w:rsidP="004A5B48">
      <w:pPr>
        <w:jc w:val="center"/>
        <w:rPr>
          <w:rFonts w:ascii="Times New Roman" w:hAnsi="Times New Roman" w:cs="Times New Roman"/>
          <w:b/>
          <w:sz w:val="40"/>
        </w:rPr>
      </w:pPr>
    </w:p>
    <w:p w:rsidR="00C556A4" w:rsidRDefault="004A5B48" w:rsidP="00C556A4">
      <w:pPr>
        <w:spacing w:line="360" w:lineRule="auto"/>
        <w:jc w:val="center"/>
        <w:rPr>
          <w:rFonts w:cstheme="minorHAnsi"/>
          <w:b/>
          <w:sz w:val="40"/>
        </w:rPr>
      </w:pPr>
      <w:r w:rsidRPr="00AD6B8E">
        <w:rPr>
          <w:rFonts w:cstheme="minorHAnsi"/>
          <w:b/>
          <w:sz w:val="40"/>
        </w:rPr>
        <w:t xml:space="preserve">PROCEDURA POSTĘPOWANIA W PRZYPADKU PODEJRZENIA O STOSOWANIE PRZEMOCY  </w:t>
      </w:r>
      <w:r w:rsidR="009C18CD">
        <w:rPr>
          <w:rFonts w:cstheme="minorHAnsi"/>
          <w:b/>
          <w:sz w:val="40"/>
        </w:rPr>
        <w:br/>
      </w:r>
      <w:r w:rsidRPr="00AD6B8E">
        <w:rPr>
          <w:rFonts w:cstheme="minorHAnsi"/>
          <w:b/>
          <w:sz w:val="40"/>
        </w:rPr>
        <w:t xml:space="preserve">W RODZINIE WOBEC DZIECKA </w:t>
      </w:r>
    </w:p>
    <w:p w:rsidR="00C556A4" w:rsidRDefault="004A5B48" w:rsidP="00C556A4">
      <w:pPr>
        <w:spacing w:line="360" w:lineRule="auto"/>
        <w:jc w:val="center"/>
        <w:rPr>
          <w:rFonts w:cstheme="minorHAnsi"/>
          <w:b/>
          <w:sz w:val="40"/>
        </w:rPr>
      </w:pPr>
      <w:r w:rsidRPr="00AD6B8E">
        <w:rPr>
          <w:rFonts w:cstheme="minorHAnsi"/>
          <w:b/>
          <w:sz w:val="40"/>
        </w:rPr>
        <w:t>OBOWIĄZUJĄCAW PRZEDSZKOLU NR 2</w:t>
      </w:r>
    </w:p>
    <w:p w:rsidR="004A5B48" w:rsidRPr="00AD6B8E" w:rsidRDefault="004A5B48" w:rsidP="00C556A4">
      <w:pPr>
        <w:spacing w:line="360" w:lineRule="auto"/>
        <w:jc w:val="center"/>
        <w:rPr>
          <w:rFonts w:cstheme="minorHAnsi"/>
          <w:b/>
          <w:sz w:val="40"/>
        </w:rPr>
      </w:pPr>
      <w:r w:rsidRPr="00AD6B8E">
        <w:rPr>
          <w:rFonts w:cstheme="minorHAnsi"/>
          <w:b/>
          <w:sz w:val="40"/>
        </w:rPr>
        <w:t xml:space="preserve"> IM. MISIA USZATKAW TRZEMESZNIE</w:t>
      </w:r>
    </w:p>
    <w:p w:rsidR="004A5B48" w:rsidRPr="00AD6B8E" w:rsidRDefault="004A5B48" w:rsidP="004A5B48">
      <w:pPr>
        <w:jc w:val="center"/>
        <w:rPr>
          <w:rFonts w:cstheme="minorHAnsi"/>
          <w:b/>
          <w:sz w:val="40"/>
        </w:rPr>
      </w:pPr>
    </w:p>
    <w:p w:rsidR="004A5B48" w:rsidRDefault="004A5B48" w:rsidP="004A5B48">
      <w:pPr>
        <w:jc w:val="center"/>
        <w:rPr>
          <w:rFonts w:cstheme="minorHAnsi"/>
          <w:b/>
          <w:sz w:val="40"/>
        </w:rPr>
      </w:pPr>
    </w:p>
    <w:p w:rsidR="00C556A4" w:rsidRDefault="00C556A4" w:rsidP="004A5B48">
      <w:pPr>
        <w:jc w:val="center"/>
        <w:rPr>
          <w:rFonts w:cstheme="minorHAnsi"/>
          <w:b/>
          <w:sz w:val="40"/>
        </w:rPr>
      </w:pPr>
    </w:p>
    <w:p w:rsidR="00C556A4" w:rsidRDefault="00C556A4" w:rsidP="004A5B48">
      <w:pPr>
        <w:jc w:val="center"/>
        <w:rPr>
          <w:rFonts w:cstheme="minorHAnsi"/>
          <w:b/>
          <w:sz w:val="40"/>
        </w:rPr>
      </w:pPr>
    </w:p>
    <w:p w:rsidR="00C556A4" w:rsidRPr="00AD6B8E" w:rsidRDefault="00C556A4" w:rsidP="004A5B48">
      <w:pPr>
        <w:jc w:val="center"/>
        <w:rPr>
          <w:rFonts w:cstheme="minorHAnsi"/>
          <w:b/>
          <w:sz w:val="40"/>
        </w:rPr>
      </w:pPr>
    </w:p>
    <w:p w:rsidR="004A5B48" w:rsidRPr="00AD6B8E" w:rsidRDefault="004A5B48" w:rsidP="004A5B48">
      <w:pPr>
        <w:jc w:val="right"/>
        <w:rPr>
          <w:rFonts w:cstheme="minorHAnsi"/>
          <w:sz w:val="28"/>
          <w:szCs w:val="28"/>
        </w:rPr>
      </w:pPr>
      <w:r w:rsidRPr="00AD6B8E">
        <w:rPr>
          <w:rFonts w:cstheme="minorHAnsi"/>
          <w:sz w:val="28"/>
          <w:szCs w:val="28"/>
        </w:rPr>
        <w:t>Opracowały</w:t>
      </w:r>
    </w:p>
    <w:p w:rsidR="004A5B48" w:rsidRPr="00AD6B8E" w:rsidRDefault="004A5B48" w:rsidP="004A5B48">
      <w:pPr>
        <w:jc w:val="right"/>
        <w:rPr>
          <w:rFonts w:cstheme="minorHAnsi"/>
          <w:sz w:val="28"/>
          <w:szCs w:val="28"/>
        </w:rPr>
      </w:pPr>
      <w:r w:rsidRPr="00AD6B8E">
        <w:rPr>
          <w:rFonts w:cstheme="minorHAnsi"/>
          <w:sz w:val="28"/>
          <w:szCs w:val="28"/>
        </w:rPr>
        <w:t>Kamila Kachniarz</w:t>
      </w:r>
    </w:p>
    <w:p w:rsidR="004A5B48" w:rsidRPr="00AD6B8E" w:rsidRDefault="004A5B48" w:rsidP="004A5B48">
      <w:pPr>
        <w:jc w:val="right"/>
        <w:rPr>
          <w:rFonts w:cstheme="minorHAnsi"/>
          <w:sz w:val="28"/>
          <w:szCs w:val="28"/>
        </w:rPr>
      </w:pPr>
      <w:r w:rsidRPr="00AD6B8E">
        <w:rPr>
          <w:rFonts w:cstheme="minorHAnsi"/>
          <w:sz w:val="28"/>
          <w:szCs w:val="28"/>
        </w:rPr>
        <w:t>Wiesława Kowalewska</w:t>
      </w:r>
    </w:p>
    <w:p w:rsidR="004A5B48" w:rsidRPr="00AD6B8E" w:rsidRDefault="004A5B48" w:rsidP="004A5B48">
      <w:pPr>
        <w:jc w:val="right"/>
        <w:rPr>
          <w:rFonts w:cstheme="minorHAnsi"/>
          <w:sz w:val="28"/>
          <w:szCs w:val="28"/>
        </w:rPr>
      </w:pPr>
      <w:r w:rsidRPr="00AD6B8E">
        <w:rPr>
          <w:rFonts w:cstheme="minorHAnsi"/>
          <w:sz w:val="28"/>
          <w:szCs w:val="28"/>
        </w:rPr>
        <w:t>Roksana Trzcińska</w:t>
      </w:r>
    </w:p>
    <w:p w:rsidR="004A5B48" w:rsidRPr="00AD6B8E" w:rsidRDefault="004A5B48" w:rsidP="004A5B48">
      <w:pPr>
        <w:rPr>
          <w:rFonts w:cstheme="minorHAnsi"/>
          <w:sz w:val="32"/>
        </w:rPr>
      </w:pPr>
    </w:p>
    <w:p w:rsidR="004A5B48" w:rsidRPr="00AD6B8E" w:rsidRDefault="004A5B48" w:rsidP="004A5B48">
      <w:pPr>
        <w:rPr>
          <w:rFonts w:cstheme="minorHAnsi"/>
          <w:sz w:val="32"/>
        </w:rPr>
      </w:pPr>
    </w:p>
    <w:p w:rsidR="004A5B48" w:rsidRPr="00AD6B8E" w:rsidRDefault="004A5B48" w:rsidP="004A5B48">
      <w:pPr>
        <w:rPr>
          <w:rFonts w:cstheme="minorHAnsi"/>
          <w:sz w:val="32"/>
        </w:rPr>
      </w:pPr>
    </w:p>
    <w:p w:rsidR="004A5B48" w:rsidRPr="00AD6B8E" w:rsidRDefault="004A5B48" w:rsidP="004A5B48">
      <w:pPr>
        <w:jc w:val="right"/>
        <w:rPr>
          <w:rFonts w:cstheme="minorHAnsi"/>
          <w:sz w:val="32"/>
        </w:rPr>
      </w:pPr>
    </w:p>
    <w:p w:rsidR="00AD6B8E" w:rsidRDefault="004A5B48" w:rsidP="004A5B48">
      <w:pPr>
        <w:jc w:val="center"/>
        <w:rPr>
          <w:rFonts w:cstheme="minorHAnsi"/>
          <w:b/>
          <w:sz w:val="24"/>
        </w:rPr>
      </w:pPr>
      <w:r w:rsidRPr="00AD6B8E">
        <w:rPr>
          <w:rFonts w:cstheme="minorHAnsi"/>
          <w:b/>
          <w:sz w:val="24"/>
        </w:rPr>
        <w:lastRenderedPageBreak/>
        <w:t xml:space="preserve">PROCEDURA POSTĘPOWANIA PRZEDSZKOLA W PRZYPADKU PODEJRZENIA, </w:t>
      </w:r>
    </w:p>
    <w:p w:rsidR="004A5B48" w:rsidRPr="00AD6B8E" w:rsidRDefault="004A5B48" w:rsidP="004A5B48">
      <w:pPr>
        <w:jc w:val="center"/>
        <w:rPr>
          <w:rFonts w:cstheme="minorHAnsi"/>
          <w:b/>
          <w:sz w:val="24"/>
        </w:rPr>
      </w:pPr>
      <w:r w:rsidRPr="00AD6B8E">
        <w:rPr>
          <w:rFonts w:cstheme="minorHAnsi"/>
          <w:b/>
          <w:sz w:val="24"/>
        </w:rPr>
        <w:t>IŻ DZIECKO DOŚWIADCZA PRZEMOCY W DOMU</w:t>
      </w:r>
    </w:p>
    <w:p w:rsidR="004A5B48" w:rsidRPr="00AD6B8E" w:rsidRDefault="004A5B48" w:rsidP="004A5B48">
      <w:pPr>
        <w:jc w:val="center"/>
        <w:rPr>
          <w:rFonts w:cstheme="minorHAnsi"/>
          <w:b/>
          <w:sz w:val="24"/>
        </w:rPr>
      </w:pPr>
    </w:p>
    <w:p w:rsidR="004A5B48" w:rsidRPr="00AD6B8E" w:rsidRDefault="004A5B48" w:rsidP="00AD6B8E">
      <w:pPr>
        <w:spacing w:line="276" w:lineRule="auto"/>
        <w:jc w:val="both"/>
        <w:rPr>
          <w:rFonts w:cstheme="minorHAnsi"/>
          <w:b/>
          <w:sz w:val="24"/>
          <w:szCs w:val="24"/>
        </w:rPr>
      </w:pPr>
      <w:r w:rsidRPr="00AD6B8E">
        <w:rPr>
          <w:rFonts w:cstheme="minorHAnsi"/>
          <w:b/>
          <w:sz w:val="24"/>
          <w:szCs w:val="24"/>
        </w:rPr>
        <w:t>Podstawa prawna:</w:t>
      </w:r>
    </w:p>
    <w:p w:rsidR="004A5B48" w:rsidRPr="00AD6B8E" w:rsidRDefault="004A5B48" w:rsidP="00AD6B8E">
      <w:pPr>
        <w:pStyle w:val="Akapitzlist"/>
        <w:numPr>
          <w:ilvl w:val="0"/>
          <w:numId w:val="1"/>
        </w:numPr>
        <w:spacing w:line="276" w:lineRule="auto"/>
        <w:ind w:left="714" w:hanging="357"/>
        <w:jc w:val="both"/>
        <w:rPr>
          <w:rFonts w:cstheme="minorHAnsi"/>
          <w:sz w:val="24"/>
          <w:szCs w:val="24"/>
        </w:rPr>
      </w:pPr>
      <w:r w:rsidRPr="00AD6B8E">
        <w:rPr>
          <w:rFonts w:cstheme="minorHAnsi"/>
          <w:i/>
          <w:sz w:val="24"/>
          <w:szCs w:val="24"/>
        </w:rPr>
        <w:t xml:space="preserve">Ustawa z dnia 29 lipca 2005 roku o przeciwdziałaniu przemocy w rodzinie, </w:t>
      </w:r>
      <w:r w:rsidRPr="00AD6B8E">
        <w:rPr>
          <w:rFonts w:cstheme="minorHAnsi"/>
          <w:sz w:val="24"/>
          <w:szCs w:val="24"/>
        </w:rPr>
        <w:t>zmiany wprowadzone 10 czerwca 2010 r.;</w:t>
      </w:r>
    </w:p>
    <w:p w:rsidR="004A5B48" w:rsidRPr="00AD6B8E" w:rsidRDefault="004A5B48" w:rsidP="00AD6B8E">
      <w:pPr>
        <w:pStyle w:val="Akapitzlist"/>
        <w:numPr>
          <w:ilvl w:val="0"/>
          <w:numId w:val="1"/>
        </w:numPr>
        <w:spacing w:line="276" w:lineRule="auto"/>
        <w:ind w:left="714" w:hanging="357"/>
        <w:jc w:val="both"/>
        <w:rPr>
          <w:rFonts w:cstheme="minorHAnsi"/>
          <w:sz w:val="24"/>
          <w:szCs w:val="24"/>
        </w:rPr>
      </w:pPr>
      <w:r w:rsidRPr="00AD6B8E">
        <w:rPr>
          <w:rFonts w:cstheme="minorHAnsi"/>
          <w:sz w:val="24"/>
          <w:szCs w:val="24"/>
        </w:rPr>
        <w:t>Rozporządzenie Rady Ministrów z dnia 13 września 2011 r. w sprawie procedury „Niebieskie Karty” oraz wzorów formularzy „Niebieska Karta” i komentarzem do rozporządzenia;</w:t>
      </w:r>
    </w:p>
    <w:p w:rsidR="004A5B48" w:rsidRPr="00AD6B8E" w:rsidRDefault="004A5B48" w:rsidP="00AD6B8E">
      <w:pPr>
        <w:spacing w:line="276" w:lineRule="auto"/>
        <w:jc w:val="both"/>
        <w:rPr>
          <w:rFonts w:cstheme="minorHAnsi"/>
          <w:b/>
          <w:sz w:val="24"/>
          <w:szCs w:val="24"/>
        </w:rPr>
      </w:pPr>
      <w:r w:rsidRPr="00AD6B8E">
        <w:rPr>
          <w:rFonts w:cstheme="minorHAnsi"/>
          <w:b/>
          <w:sz w:val="24"/>
          <w:szCs w:val="24"/>
        </w:rPr>
        <w:t>Cel procedury:</w:t>
      </w:r>
    </w:p>
    <w:p w:rsidR="004A5B48" w:rsidRPr="00AD6B8E" w:rsidRDefault="004A5B48" w:rsidP="00AD6B8E">
      <w:pPr>
        <w:spacing w:line="276" w:lineRule="auto"/>
        <w:jc w:val="both"/>
        <w:rPr>
          <w:rFonts w:cstheme="minorHAnsi"/>
          <w:sz w:val="24"/>
          <w:szCs w:val="24"/>
        </w:rPr>
      </w:pPr>
      <w:r w:rsidRPr="00AD6B8E">
        <w:rPr>
          <w:rFonts w:cstheme="minorHAnsi"/>
          <w:sz w:val="24"/>
          <w:szCs w:val="24"/>
        </w:rPr>
        <w:t>Procedura określa tryb postępowania w przypadku podejrzenia o stosowanie przemocy                        w rodzinie wobec dziecka.</w:t>
      </w:r>
    </w:p>
    <w:p w:rsidR="004A5B48" w:rsidRPr="00AD6B8E" w:rsidRDefault="004A5B48" w:rsidP="00AD6B8E">
      <w:pPr>
        <w:spacing w:line="276" w:lineRule="auto"/>
        <w:jc w:val="both"/>
        <w:rPr>
          <w:rFonts w:cstheme="minorHAnsi"/>
          <w:b/>
          <w:sz w:val="24"/>
          <w:szCs w:val="24"/>
        </w:rPr>
      </w:pPr>
      <w:r w:rsidRPr="00AD6B8E">
        <w:rPr>
          <w:rFonts w:cstheme="minorHAnsi"/>
          <w:b/>
          <w:sz w:val="24"/>
          <w:szCs w:val="24"/>
        </w:rPr>
        <w:t>Adresaci:</w:t>
      </w:r>
    </w:p>
    <w:p w:rsidR="004A5B48" w:rsidRPr="00AD6B8E" w:rsidRDefault="004A5B48" w:rsidP="00AD6B8E">
      <w:pPr>
        <w:spacing w:line="276" w:lineRule="auto"/>
        <w:jc w:val="both"/>
        <w:rPr>
          <w:rFonts w:cstheme="minorHAnsi"/>
          <w:sz w:val="24"/>
          <w:szCs w:val="24"/>
        </w:rPr>
      </w:pPr>
      <w:r w:rsidRPr="00AD6B8E">
        <w:rPr>
          <w:rFonts w:cstheme="minorHAnsi"/>
          <w:sz w:val="24"/>
          <w:szCs w:val="24"/>
        </w:rPr>
        <w:t xml:space="preserve">Wszyscy pracownicy zatrudnieni w przedszkolu. </w:t>
      </w:r>
    </w:p>
    <w:p w:rsidR="004A5B48" w:rsidRPr="00AD6B8E" w:rsidRDefault="004A5B48" w:rsidP="00AD6B8E">
      <w:pPr>
        <w:spacing w:line="276" w:lineRule="auto"/>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r w:rsidRPr="00AD6B8E">
        <w:rPr>
          <w:rFonts w:cstheme="minorHAnsi"/>
          <w:sz w:val="24"/>
          <w:szCs w:val="24"/>
        </w:rPr>
        <w:t>Art. 1 Ustawy wprowadza zmiany w Kodeksie rodzinnym i opiekuńczym i dodaje do niego  Art. 961 : „Osobom wykonującym władzę rodzicielską oraz sprawującym opiekę lub pieczę nad małoletnim zakazuje się stosowania kar cielesnych”.</w:t>
      </w: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r w:rsidRPr="00AD6B8E">
        <w:rPr>
          <w:rFonts w:cstheme="minorHAnsi"/>
          <w:sz w:val="24"/>
          <w:szCs w:val="24"/>
        </w:rPr>
        <w:t xml:space="preserve"> W myśl nowelizacji Ustawy kary cielesne (w tym klapsy) uznaje się za przemoc wobec dziecka. Pracownicy placówek oświatowych są zobowiązani do każdorazowego reagowaniaw przypadku podejrzenia przemocy wobec dziecka.</w:t>
      </w: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spacing w:line="276" w:lineRule="auto"/>
        <w:contextualSpacing/>
        <w:jc w:val="both"/>
        <w:rPr>
          <w:rFonts w:cstheme="minorHAnsi"/>
          <w:sz w:val="24"/>
          <w:szCs w:val="24"/>
        </w:rPr>
      </w:pPr>
    </w:p>
    <w:p w:rsidR="00AD6B8E" w:rsidRDefault="00AD6B8E" w:rsidP="00AD6B8E">
      <w:pPr>
        <w:spacing w:line="276" w:lineRule="auto"/>
        <w:contextualSpacing/>
        <w:jc w:val="both"/>
        <w:rPr>
          <w:rFonts w:cstheme="minorHAnsi"/>
          <w:b/>
          <w:sz w:val="24"/>
          <w:szCs w:val="24"/>
        </w:rPr>
      </w:pPr>
    </w:p>
    <w:p w:rsidR="00AD6B8E" w:rsidRDefault="00AD6B8E" w:rsidP="00AD6B8E">
      <w:pPr>
        <w:spacing w:line="276" w:lineRule="auto"/>
        <w:contextualSpacing/>
        <w:jc w:val="both"/>
        <w:rPr>
          <w:rFonts w:cstheme="minorHAnsi"/>
          <w:b/>
          <w:sz w:val="24"/>
          <w:szCs w:val="24"/>
        </w:rPr>
      </w:pPr>
    </w:p>
    <w:p w:rsidR="00AD6B8E" w:rsidRDefault="00AD6B8E" w:rsidP="00AD6B8E">
      <w:pPr>
        <w:spacing w:line="276" w:lineRule="auto"/>
        <w:contextualSpacing/>
        <w:jc w:val="both"/>
        <w:rPr>
          <w:rFonts w:cstheme="minorHAnsi"/>
          <w:b/>
          <w:sz w:val="24"/>
          <w:szCs w:val="24"/>
        </w:rPr>
      </w:pPr>
    </w:p>
    <w:p w:rsidR="00AD6B8E" w:rsidRDefault="00AD6B8E" w:rsidP="00AD6B8E">
      <w:pPr>
        <w:spacing w:line="276" w:lineRule="auto"/>
        <w:contextualSpacing/>
        <w:jc w:val="both"/>
        <w:rPr>
          <w:rFonts w:cstheme="minorHAnsi"/>
          <w:b/>
          <w:sz w:val="24"/>
          <w:szCs w:val="24"/>
        </w:rPr>
      </w:pPr>
    </w:p>
    <w:p w:rsidR="00C556A4" w:rsidRDefault="00C556A4" w:rsidP="00AD6B8E">
      <w:pPr>
        <w:spacing w:line="276" w:lineRule="auto"/>
        <w:contextualSpacing/>
        <w:jc w:val="both"/>
        <w:rPr>
          <w:rFonts w:cstheme="minorHAnsi"/>
          <w:b/>
          <w:sz w:val="24"/>
          <w:szCs w:val="24"/>
        </w:rPr>
      </w:pPr>
      <w:bookmarkStart w:id="0" w:name="_GoBack"/>
      <w:bookmarkEnd w:id="0"/>
    </w:p>
    <w:p w:rsidR="004A5B48" w:rsidRPr="00AD6B8E" w:rsidRDefault="004A5B48" w:rsidP="00AD6B8E">
      <w:pPr>
        <w:spacing w:line="276" w:lineRule="auto"/>
        <w:contextualSpacing/>
        <w:jc w:val="center"/>
        <w:rPr>
          <w:rFonts w:cstheme="minorHAnsi"/>
          <w:sz w:val="36"/>
          <w:szCs w:val="36"/>
        </w:rPr>
      </w:pPr>
      <w:r w:rsidRPr="00AD6B8E">
        <w:rPr>
          <w:rFonts w:cstheme="minorHAnsi"/>
          <w:b/>
          <w:sz w:val="36"/>
          <w:szCs w:val="36"/>
        </w:rPr>
        <w:lastRenderedPageBreak/>
        <w:t>Procedura</w:t>
      </w:r>
    </w:p>
    <w:p w:rsidR="004A5B48" w:rsidRPr="00AD6B8E" w:rsidRDefault="004A5B48" w:rsidP="00AD6B8E">
      <w:pPr>
        <w:spacing w:line="276" w:lineRule="auto"/>
        <w:contextualSpacing/>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 xml:space="preserve">Przez przemoc w rodzinie należy rozumieć zgodnie z zapisami ustawy z dnia 29 lipca 2005 roku o przeciwdziałaniu przemocy w  rodzinie  (z  </w:t>
      </w:r>
      <w:proofErr w:type="spellStart"/>
      <w:r w:rsidRPr="00AD6B8E">
        <w:rPr>
          <w:rFonts w:cstheme="minorHAnsi"/>
          <w:sz w:val="24"/>
          <w:szCs w:val="24"/>
        </w:rPr>
        <w:t>późn</w:t>
      </w:r>
      <w:proofErr w:type="spellEnd"/>
      <w:r w:rsidRPr="00AD6B8E">
        <w:rPr>
          <w:rFonts w:cstheme="minorHAnsi"/>
          <w:sz w:val="24"/>
          <w:szCs w:val="24"/>
        </w:rPr>
        <w:t>.  zmianami)   jednorazowe albo powtarzające się umyślne działanie lub zaniechanie naruszające prawa lub dobra osobiste dziecka, w szczególności narażające dziecko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4A5B48" w:rsidRPr="00AD6B8E" w:rsidRDefault="004A5B48" w:rsidP="00AD6B8E">
      <w:pPr>
        <w:pStyle w:val="Akapitzlist"/>
        <w:spacing w:line="276" w:lineRule="auto"/>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 xml:space="preserve">Gdy nauczyciel jest świadkiem przemocy (np. na terenie lub w okolicy przedszkola), musi interweniować. Dziecku należy zapewnić bezpieczeństwo – trzeba go odseparować od sprawcy przemocy. Jeśli tego wymaga sytuacja, dziecku udziela się pomocy przedmedycznej, ewentualnie wzywa się pogotowie i policję. </w:t>
      </w:r>
    </w:p>
    <w:p w:rsidR="004A5B48" w:rsidRPr="00AD6B8E" w:rsidRDefault="004A5B48" w:rsidP="00AD6B8E">
      <w:pPr>
        <w:pStyle w:val="Akapitzlist"/>
        <w:spacing w:line="276" w:lineRule="auto"/>
        <w:jc w:val="both"/>
        <w:rPr>
          <w:rFonts w:cstheme="minorHAnsi"/>
          <w:sz w:val="24"/>
          <w:szCs w:val="24"/>
        </w:rPr>
      </w:pPr>
    </w:p>
    <w:p w:rsidR="004A5B48" w:rsidRPr="00AD6B8E" w:rsidRDefault="004A5B48" w:rsidP="00AD6B8E">
      <w:pPr>
        <w:pStyle w:val="Akapitzlist"/>
        <w:spacing w:line="276" w:lineRule="auto"/>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Jeśli dziecko samo sygnalizuje, że jest krzywdzone, lub nauczyciel ma podejrzenia                     w tym zakresie, przeprowadza rozmowę z dzieckiem, sporządza notatkę o zdarzeniu lub z przebiegu rozmowy (o ile to możliwe bezpośrednio po zdarzeniu lub rozmowie).</w:t>
      </w:r>
    </w:p>
    <w:p w:rsidR="004A5B48" w:rsidRPr="00AD6B8E" w:rsidRDefault="004A5B48" w:rsidP="00AD6B8E">
      <w:pPr>
        <w:pStyle w:val="Akapitzlist"/>
        <w:spacing w:line="276" w:lineRule="auto"/>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 xml:space="preserve">Często  jednak  zdarza  się, że  do  nauczycieli docierają  jedynie  niepokojące sygnały,              które mogą wskazywać na to, że dziecko jest krzywdzone. Możemy mówić o kilku źródłach sygnałów:  </w:t>
      </w:r>
    </w:p>
    <w:p w:rsidR="004A5B48" w:rsidRPr="00AD6B8E" w:rsidRDefault="004A5B48" w:rsidP="00AD6B8E">
      <w:pPr>
        <w:pStyle w:val="Akapitzlist"/>
        <w:numPr>
          <w:ilvl w:val="0"/>
          <w:numId w:val="3"/>
        </w:numPr>
        <w:spacing w:line="276" w:lineRule="auto"/>
        <w:jc w:val="both"/>
        <w:rPr>
          <w:rFonts w:cstheme="minorHAnsi"/>
          <w:sz w:val="24"/>
          <w:szCs w:val="24"/>
        </w:rPr>
      </w:pPr>
      <w:r w:rsidRPr="00AD6B8E">
        <w:rPr>
          <w:rFonts w:cstheme="minorHAnsi"/>
          <w:sz w:val="24"/>
          <w:szCs w:val="24"/>
        </w:rPr>
        <w:t xml:space="preserve">samo dziecko,   </w:t>
      </w:r>
    </w:p>
    <w:p w:rsidR="004A5B48" w:rsidRPr="00AD6B8E" w:rsidRDefault="004A5B48" w:rsidP="00AD6B8E">
      <w:pPr>
        <w:pStyle w:val="Akapitzlist"/>
        <w:numPr>
          <w:ilvl w:val="0"/>
          <w:numId w:val="3"/>
        </w:numPr>
        <w:spacing w:line="276" w:lineRule="auto"/>
        <w:jc w:val="both"/>
        <w:rPr>
          <w:rFonts w:cstheme="minorHAnsi"/>
          <w:sz w:val="24"/>
          <w:szCs w:val="24"/>
        </w:rPr>
      </w:pPr>
      <w:r w:rsidRPr="00AD6B8E">
        <w:rPr>
          <w:rFonts w:cstheme="minorHAnsi"/>
          <w:sz w:val="24"/>
          <w:szCs w:val="24"/>
        </w:rPr>
        <w:t xml:space="preserve">jego rodzic,   </w:t>
      </w:r>
    </w:p>
    <w:p w:rsidR="004A5B48" w:rsidRPr="00AD6B8E" w:rsidRDefault="004A5B48" w:rsidP="00AD6B8E">
      <w:pPr>
        <w:pStyle w:val="Akapitzlist"/>
        <w:numPr>
          <w:ilvl w:val="0"/>
          <w:numId w:val="3"/>
        </w:numPr>
        <w:spacing w:line="276" w:lineRule="auto"/>
        <w:jc w:val="both"/>
        <w:rPr>
          <w:rFonts w:cstheme="minorHAnsi"/>
          <w:sz w:val="24"/>
          <w:szCs w:val="24"/>
        </w:rPr>
      </w:pPr>
      <w:r w:rsidRPr="00AD6B8E">
        <w:rPr>
          <w:rFonts w:cstheme="minorHAnsi"/>
          <w:sz w:val="24"/>
          <w:szCs w:val="24"/>
        </w:rPr>
        <w:t xml:space="preserve">osoba z bliższej i dalszej rodziny ,  </w:t>
      </w:r>
    </w:p>
    <w:p w:rsidR="004A5B48" w:rsidRPr="00AD6B8E" w:rsidRDefault="004A5B48" w:rsidP="00AD6B8E">
      <w:pPr>
        <w:pStyle w:val="Akapitzlist"/>
        <w:numPr>
          <w:ilvl w:val="0"/>
          <w:numId w:val="3"/>
        </w:numPr>
        <w:spacing w:line="276" w:lineRule="auto"/>
        <w:jc w:val="both"/>
        <w:rPr>
          <w:rFonts w:cstheme="minorHAnsi"/>
          <w:sz w:val="24"/>
          <w:szCs w:val="24"/>
        </w:rPr>
      </w:pPr>
      <w:r w:rsidRPr="00AD6B8E">
        <w:rPr>
          <w:rFonts w:cstheme="minorHAnsi"/>
          <w:sz w:val="24"/>
          <w:szCs w:val="24"/>
        </w:rPr>
        <w:t xml:space="preserve"> osoba obca . </w:t>
      </w:r>
    </w:p>
    <w:p w:rsidR="004A5B48" w:rsidRPr="00AD6B8E" w:rsidRDefault="004A5B48" w:rsidP="00AD6B8E">
      <w:pPr>
        <w:pStyle w:val="Akapitzlist"/>
        <w:spacing w:line="276" w:lineRule="auto"/>
        <w:ind w:left="1080"/>
        <w:jc w:val="both"/>
        <w:rPr>
          <w:rFonts w:cstheme="minorHAnsi"/>
          <w:sz w:val="24"/>
          <w:szCs w:val="24"/>
        </w:rPr>
      </w:pP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Sygnały, których źródłem jest dziecko.</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Dziecko sygnalizuje nam, że jest krzywdzone poprzez:   </w:t>
      </w:r>
    </w:p>
    <w:p w:rsidR="004A5B48" w:rsidRPr="00AD6B8E" w:rsidRDefault="004A5B48" w:rsidP="00AD6B8E">
      <w:pPr>
        <w:pStyle w:val="Akapitzlist"/>
        <w:numPr>
          <w:ilvl w:val="0"/>
          <w:numId w:val="4"/>
        </w:numPr>
        <w:spacing w:line="276" w:lineRule="auto"/>
        <w:jc w:val="both"/>
        <w:rPr>
          <w:rFonts w:cstheme="minorHAnsi"/>
          <w:sz w:val="24"/>
          <w:szCs w:val="24"/>
        </w:rPr>
      </w:pPr>
      <w:r w:rsidRPr="00AD6B8E">
        <w:rPr>
          <w:rFonts w:cstheme="minorHAnsi"/>
          <w:sz w:val="24"/>
          <w:szCs w:val="24"/>
        </w:rPr>
        <w:t>swoje wypowiedzi</w:t>
      </w:r>
      <w:r w:rsidR="00AD6B8E">
        <w:rPr>
          <w:rFonts w:cstheme="minorHAnsi"/>
          <w:sz w:val="24"/>
          <w:szCs w:val="24"/>
        </w:rPr>
        <w:t>;</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 Zawsze powinno budzić naszą czujność, jeśli  dziecko sygnalizuje nam, że:  </w:t>
      </w:r>
    </w:p>
    <w:p w:rsidR="004A5B48" w:rsidRPr="00AD6B8E" w:rsidRDefault="004A5B48" w:rsidP="00AD6B8E">
      <w:pPr>
        <w:pStyle w:val="Akapitzlist"/>
        <w:numPr>
          <w:ilvl w:val="0"/>
          <w:numId w:val="5"/>
        </w:numPr>
        <w:spacing w:line="276" w:lineRule="auto"/>
        <w:jc w:val="both"/>
        <w:rPr>
          <w:rFonts w:cstheme="minorHAnsi"/>
          <w:sz w:val="24"/>
          <w:szCs w:val="24"/>
        </w:rPr>
      </w:pPr>
      <w:r w:rsidRPr="00AD6B8E">
        <w:rPr>
          <w:rFonts w:cstheme="minorHAnsi"/>
          <w:sz w:val="24"/>
          <w:szCs w:val="24"/>
        </w:rPr>
        <w:t xml:space="preserve">ma jakąś tajemnicę,  </w:t>
      </w:r>
    </w:p>
    <w:p w:rsidR="004A5B48" w:rsidRPr="00AD6B8E" w:rsidRDefault="004A5B48" w:rsidP="00AD6B8E">
      <w:pPr>
        <w:pStyle w:val="Akapitzlist"/>
        <w:numPr>
          <w:ilvl w:val="0"/>
          <w:numId w:val="5"/>
        </w:numPr>
        <w:spacing w:line="276" w:lineRule="auto"/>
        <w:jc w:val="both"/>
        <w:rPr>
          <w:rFonts w:cstheme="minorHAnsi"/>
          <w:sz w:val="24"/>
          <w:szCs w:val="24"/>
        </w:rPr>
      </w:pPr>
      <w:r w:rsidRPr="00AD6B8E">
        <w:rPr>
          <w:rFonts w:cstheme="minorHAnsi"/>
          <w:sz w:val="24"/>
          <w:szCs w:val="24"/>
        </w:rPr>
        <w:t xml:space="preserve">chciałoby nam o czymś ważnym opowiedzieć, ale się waha,  </w:t>
      </w:r>
    </w:p>
    <w:p w:rsidR="004A5B48" w:rsidRPr="00AD6B8E" w:rsidRDefault="004A5B48" w:rsidP="00AD6B8E">
      <w:pPr>
        <w:pStyle w:val="Akapitzlist"/>
        <w:numPr>
          <w:ilvl w:val="0"/>
          <w:numId w:val="5"/>
        </w:numPr>
        <w:spacing w:line="276" w:lineRule="auto"/>
        <w:jc w:val="both"/>
        <w:rPr>
          <w:rFonts w:cstheme="minorHAnsi"/>
          <w:sz w:val="24"/>
          <w:szCs w:val="24"/>
        </w:rPr>
      </w:pPr>
      <w:r w:rsidRPr="00AD6B8E">
        <w:rPr>
          <w:rFonts w:cstheme="minorHAnsi"/>
          <w:sz w:val="24"/>
          <w:szCs w:val="24"/>
        </w:rPr>
        <w:t xml:space="preserve">obawia się wracać do domu, woli przebywać poza domem,  </w:t>
      </w:r>
    </w:p>
    <w:p w:rsidR="004A5B48" w:rsidRPr="00AD6B8E" w:rsidRDefault="004A5B48" w:rsidP="00AD6B8E">
      <w:pPr>
        <w:pStyle w:val="Akapitzlist"/>
        <w:numPr>
          <w:ilvl w:val="0"/>
          <w:numId w:val="5"/>
        </w:numPr>
        <w:spacing w:line="276" w:lineRule="auto"/>
        <w:jc w:val="both"/>
        <w:rPr>
          <w:rFonts w:cstheme="minorHAnsi"/>
          <w:sz w:val="24"/>
          <w:szCs w:val="24"/>
        </w:rPr>
      </w:pPr>
      <w:r w:rsidRPr="00AD6B8E">
        <w:rPr>
          <w:rFonts w:cstheme="minorHAnsi"/>
          <w:sz w:val="24"/>
          <w:szCs w:val="24"/>
        </w:rPr>
        <w:t xml:space="preserve">nie lubi przebywać w jakimś miejscu (np. jeździć na wakacje do dziadków),  </w:t>
      </w:r>
    </w:p>
    <w:p w:rsidR="00AD6B8E" w:rsidRDefault="004A5B48" w:rsidP="00AD6B8E">
      <w:pPr>
        <w:pStyle w:val="Akapitzlist"/>
        <w:numPr>
          <w:ilvl w:val="0"/>
          <w:numId w:val="5"/>
        </w:numPr>
        <w:spacing w:line="276" w:lineRule="auto"/>
        <w:jc w:val="both"/>
        <w:rPr>
          <w:rFonts w:cstheme="minorHAnsi"/>
          <w:sz w:val="24"/>
          <w:szCs w:val="24"/>
        </w:rPr>
      </w:pPr>
      <w:r w:rsidRPr="00AD6B8E">
        <w:rPr>
          <w:rFonts w:cstheme="minorHAnsi"/>
          <w:sz w:val="24"/>
          <w:szCs w:val="24"/>
        </w:rPr>
        <w:t>nie lubi jakiejś osoby.</w:t>
      </w:r>
    </w:p>
    <w:p w:rsidR="004A5B48" w:rsidRPr="00AD6B8E" w:rsidRDefault="004A5B48" w:rsidP="00AD6B8E">
      <w:pPr>
        <w:spacing w:line="276" w:lineRule="auto"/>
        <w:jc w:val="both"/>
        <w:rPr>
          <w:rFonts w:cstheme="minorHAnsi"/>
          <w:sz w:val="24"/>
          <w:szCs w:val="24"/>
        </w:rPr>
      </w:pPr>
    </w:p>
    <w:p w:rsidR="004A5B48" w:rsidRPr="00AD6B8E" w:rsidRDefault="00AD6B8E" w:rsidP="00AD6B8E">
      <w:pPr>
        <w:pStyle w:val="Akapitzlist"/>
        <w:numPr>
          <w:ilvl w:val="0"/>
          <w:numId w:val="4"/>
        </w:numPr>
        <w:spacing w:line="276" w:lineRule="auto"/>
        <w:jc w:val="both"/>
        <w:rPr>
          <w:rFonts w:cstheme="minorHAnsi"/>
          <w:sz w:val="24"/>
          <w:szCs w:val="24"/>
        </w:rPr>
      </w:pPr>
      <w:r>
        <w:rPr>
          <w:rFonts w:cstheme="minorHAnsi"/>
          <w:sz w:val="24"/>
          <w:szCs w:val="24"/>
        </w:rPr>
        <w:lastRenderedPageBreak/>
        <w:t>wygląd lub zachowanie;</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Powinno zwrócić naszą uwagę nieodpowiednie ubranie, brak higieny, niedożywienie, sińce pod oczami, zasypianie dziecka na zajęciach.  </w:t>
      </w:r>
    </w:p>
    <w:p w:rsidR="004A5B48" w:rsidRPr="00AD6B8E" w:rsidRDefault="004A5B48" w:rsidP="00AD6B8E">
      <w:pPr>
        <w:pStyle w:val="Akapitzlist"/>
        <w:numPr>
          <w:ilvl w:val="0"/>
          <w:numId w:val="4"/>
        </w:numPr>
        <w:spacing w:line="276" w:lineRule="auto"/>
        <w:jc w:val="both"/>
        <w:rPr>
          <w:rFonts w:cstheme="minorHAnsi"/>
          <w:sz w:val="24"/>
          <w:szCs w:val="24"/>
        </w:rPr>
      </w:pPr>
      <w:r w:rsidRPr="00AD6B8E">
        <w:rPr>
          <w:rFonts w:cstheme="minorHAnsi"/>
          <w:sz w:val="24"/>
          <w:szCs w:val="24"/>
        </w:rPr>
        <w:t>problemy medyczne: stwierdzone u niego obr</w:t>
      </w:r>
      <w:r w:rsidR="00AD6B8E">
        <w:rPr>
          <w:rFonts w:cstheme="minorHAnsi"/>
          <w:sz w:val="24"/>
          <w:szCs w:val="24"/>
        </w:rPr>
        <w:t>ażenia fizyczne i (lub) choroby;</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Powinno zwrócić naszą uwagę, jeżeli dziecko często mdleje, skarży się na bóle                brzucha, bóle głowy lub wiemy, że choruje na  jedną z chorób psychosomatycznych.  Niepokojące jest również, jeśli doznaje różnych urazów, zwłaszcza w krótkich                      odstępach  czasu.  </w:t>
      </w:r>
    </w:p>
    <w:p w:rsidR="004A5B48" w:rsidRPr="00AD6B8E" w:rsidRDefault="004A5B48" w:rsidP="00AD6B8E">
      <w:pPr>
        <w:pStyle w:val="Akapitzlist"/>
        <w:numPr>
          <w:ilvl w:val="0"/>
          <w:numId w:val="4"/>
        </w:numPr>
        <w:spacing w:line="276" w:lineRule="auto"/>
        <w:jc w:val="both"/>
        <w:rPr>
          <w:rFonts w:cstheme="minorHAnsi"/>
          <w:sz w:val="24"/>
          <w:szCs w:val="24"/>
        </w:rPr>
      </w:pPr>
      <w:r w:rsidRPr="00AD6B8E">
        <w:rPr>
          <w:rFonts w:cstheme="minorHAnsi"/>
          <w:sz w:val="24"/>
          <w:szCs w:val="24"/>
        </w:rPr>
        <w:t>zaobserwowane zaburzenia emocjonalne lub zaburzenia zachowania</w:t>
      </w:r>
      <w:r w:rsidR="00AD6B8E">
        <w:rPr>
          <w:rFonts w:cstheme="minorHAnsi"/>
          <w:sz w:val="24"/>
          <w:szCs w:val="24"/>
        </w:rPr>
        <w:t>;</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Skutki krzywdzenia często ujawniają się w relacjach  dziecka z otoczeniem w  formie zaburzeń zachowania i emocji. Zaburzenia te mogą być skutkiem wszystkich rodzajów krzywdzenia dziecka. Należą do nich: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lęki, fobie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zaburzenia snu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depresja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tiki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jąkanie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moczenie nocne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zanieczyszczanie się kałem i moczem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nadpobudliwość psychoruchowa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wycofanie z kontaktów społecznych, zahamowanie,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wagarowanie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ucieczki z domu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sięganie po substancje psychoaktywne,  </w:t>
      </w:r>
    </w:p>
    <w:p w:rsidR="004A5B48" w:rsidRPr="00AD6B8E" w:rsidRDefault="00AD6B8E" w:rsidP="00AD6B8E">
      <w:pPr>
        <w:pStyle w:val="Akapitzlist"/>
        <w:numPr>
          <w:ilvl w:val="0"/>
          <w:numId w:val="6"/>
        </w:numPr>
        <w:spacing w:line="276" w:lineRule="auto"/>
        <w:jc w:val="both"/>
        <w:rPr>
          <w:rFonts w:cstheme="minorHAnsi"/>
          <w:sz w:val="24"/>
          <w:szCs w:val="24"/>
        </w:rPr>
      </w:pPr>
      <w:r>
        <w:rPr>
          <w:rFonts w:cstheme="minorHAnsi"/>
          <w:sz w:val="24"/>
          <w:szCs w:val="24"/>
        </w:rPr>
        <w:t xml:space="preserve">zachowania </w:t>
      </w:r>
      <w:r w:rsidR="004A5B48" w:rsidRPr="00AD6B8E">
        <w:rPr>
          <w:rFonts w:cstheme="minorHAnsi"/>
          <w:sz w:val="24"/>
          <w:szCs w:val="24"/>
        </w:rPr>
        <w:t xml:space="preserve">autodestrukcyjne (samookaleczenia, próby samobójcze),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zaburzenia jedzenia (anoreksja, bulimia),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zachowania agresywne ,  </w:t>
      </w:r>
    </w:p>
    <w:p w:rsidR="004A5B48" w:rsidRPr="00AD6B8E" w:rsidRDefault="004A5B48" w:rsidP="00AD6B8E">
      <w:pPr>
        <w:pStyle w:val="Akapitzlist"/>
        <w:numPr>
          <w:ilvl w:val="0"/>
          <w:numId w:val="6"/>
        </w:numPr>
        <w:spacing w:line="276" w:lineRule="auto"/>
        <w:jc w:val="both"/>
        <w:rPr>
          <w:rFonts w:cstheme="minorHAnsi"/>
          <w:sz w:val="24"/>
          <w:szCs w:val="24"/>
        </w:rPr>
      </w:pPr>
      <w:r w:rsidRPr="00AD6B8E">
        <w:rPr>
          <w:rFonts w:cstheme="minorHAnsi"/>
          <w:sz w:val="24"/>
          <w:szCs w:val="24"/>
        </w:rPr>
        <w:t xml:space="preserve">zachowania antysocjalne, wchodzenie w kolizję z prawem . </w:t>
      </w:r>
    </w:p>
    <w:p w:rsidR="004A5B48" w:rsidRPr="00AD6B8E" w:rsidRDefault="004A5B48" w:rsidP="00AD6B8E">
      <w:pPr>
        <w:pStyle w:val="Akapitzlist"/>
        <w:numPr>
          <w:ilvl w:val="0"/>
          <w:numId w:val="4"/>
        </w:numPr>
        <w:spacing w:line="276" w:lineRule="auto"/>
        <w:jc w:val="both"/>
        <w:rPr>
          <w:rFonts w:cstheme="minorHAnsi"/>
          <w:sz w:val="24"/>
          <w:szCs w:val="24"/>
        </w:rPr>
      </w:pPr>
      <w:r w:rsidRPr="00AD6B8E">
        <w:rPr>
          <w:rFonts w:cstheme="minorHAnsi"/>
          <w:sz w:val="24"/>
          <w:szCs w:val="24"/>
        </w:rPr>
        <w:t>stwierdzo</w:t>
      </w:r>
      <w:r w:rsidR="00AD6B8E">
        <w:rPr>
          <w:rFonts w:cstheme="minorHAnsi"/>
          <w:sz w:val="24"/>
          <w:szCs w:val="24"/>
        </w:rPr>
        <w:t>ne u dziecka opóźnienia rozwoju;</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Dziecko,  które  jest  krzywdzone  w  rodzinie,może  rozwijać  się  wolniej  niż  inne dzieci z powodu gorszych warunków życia (zaniedbanie) a także doznawanych urazów fizycznych i  psychicznych.</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Zaburzenia rozwoju fizycznego dziecka manifestują się poprzez:   </w:t>
      </w:r>
    </w:p>
    <w:p w:rsidR="004A5B48" w:rsidRPr="00AD6B8E" w:rsidRDefault="004A5B48" w:rsidP="00AD6B8E">
      <w:pPr>
        <w:pStyle w:val="Akapitzlist"/>
        <w:numPr>
          <w:ilvl w:val="0"/>
          <w:numId w:val="7"/>
        </w:numPr>
        <w:spacing w:line="276" w:lineRule="auto"/>
        <w:jc w:val="both"/>
        <w:rPr>
          <w:rFonts w:cstheme="minorHAnsi"/>
          <w:sz w:val="24"/>
          <w:szCs w:val="24"/>
        </w:rPr>
      </w:pPr>
      <w:r w:rsidRPr="00AD6B8E">
        <w:rPr>
          <w:rFonts w:cstheme="minorHAnsi"/>
          <w:sz w:val="24"/>
          <w:szCs w:val="24"/>
        </w:rPr>
        <w:t xml:space="preserve">opóźnienie wzrostu,  </w:t>
      </w:r>
    </w:p>
    <w:p w:rsidR="004A5B48" w:rsidRPr="00AD6B8E" w:rsidRDefault="004A5B48" w:rsidP="00AD6B8E">
      <w:pPr>
        <w:pStyle w:val="Akapitzlist"/>
        <w:numPr>
          <w:ilvl w:val="0"/>
          <w:numId w:val="7"/>
        </w:numPr>
        <w:spacing w:line="276" w:lineRule="auto"/>
        <w:jc w:val="both"/>
        <w:rPr>
          <w:rFonts w:cstheme="minorHAnsi"/>
          <w:sz w:val="24"/>
          <w:szCs w:val="24"/>
        </w:rPr>
      </w:pPr>
      <w:r w:rsidRPr="00AD6B8E">
        <w:rPr>
          <w:rFonts w:cstheme="minorHAnsi"/>
          <w:sz w:val="24"/>
          <w:szCs w:val="24"/>
        </w:rPr>
        <w:t xml:space="preserve">niedobór wagi (aż do wyniszczenia),  </w:t>
      </w:r>
    </w:p>
    <w:p w:rsidR="004A5B48" w:rsidRPr="00AD6B8E" w:rsidRDefault="004A5B48" w:rsidP="00AD6B8E">
      <w:pPr>
        <w:pStyle w:val="Akapitzlist"/>
        <w:numPr>
          <w:ilvl w:val="0"/>
          <w:numId w:val="7"/>
        </w:numPr>
        <w:spacing w:line="276" w:lineRule="auto"/>
        <w:jc w:val="both"/>
        <w:rPr>
          <w:rFonts w:cstheme="minorHAnsi"/>
          <w:sz w:val="24"/>
          <w:szCs w:val="24"/>
        </w:rPr>
      </w:pPr>
      <w:r w:rsidRPr="00AD6B8E">
        <w:rPr>
          <w:rFonts w:cstheme="minorHAnsi"/>
          <w:sz w:val="24"/>
          <w:szCs w:val="24"/>
        </w:rPr>
        <w:t>opóźnienie  rozwoju  ruchowego  (dziecko  nie  siada,  nie  staje,  nie  chodzi  –   w wieku, w którym powinno już to potrafić).</w:t>
      </w:r>
    </w:p>
    <w:p w:rsidR="00AD6B8E" w:rsidRDefault="00AD6B8E" w:rsidP="00AD6B8E">
      <w:pPr>
        <w:spacing w:line="276" w:lineRule="auto"/>
        <w:ind w:left="360"/>
        <w:jc w:val="both"/>
        <w:rPr>
          <w:rFonts w:cstheme="minorHAnsi"/>
          <w:sz w:val="24"/>
          <w:szCs w:val="24"/>
        </w:rPr>
      </w:pPr>
    </w:p>
    <w:p w:rsidR="004A5B48" w:rsidRPr="00AD6B8E" w:rsidRDefault="004A5B48" w:rsidP="00AD6B8E">
      <w:pPr>
        <w:spacing w:line="276" w:lineRule="auto"/>
        <w:ind w:left="360"/>
        <w:jc w:val="both"/>
        <w:rPr>
          <w:rFonts w:cstheme="minorHAnsi"/>
          <w:sz w:val="24"/>
          <w:szCs w:val="24"/>
        </w:rPr>
      </w:pPr>
      <w:r w:rsidRPr="00AD6B8E">
        <w:rPr>
          <w:rFonts w:cstheme="minorHAnsi"/>
          <w:sz w:val="24"/>
          <w:szCs w:val="24"/>
        </w:rPr>
        <w:lastRenderedPageBreak/>
        <w:t xml:space="preserve">Zdarza się też, że opóźnieniu ulega rozwój poznawczy dziecka, co może być                          skutkiem:  </w:t>
      </w:r>
    </w:p>
    <w:p w:rsidR="004A5B48" w:rsidRPr="00AD6B8E" w:rsidRDefault="004A5B48" w:rsidP="00AD6B8E">
      <w:pPr>
        <w:pStyle w:val="Akapitzlist"/>
        <w:numPr>
          <w:ilvl w:val="0"/>
          <w:numId w:val="9"/>
        </w:numPr>
        <w:spacing w:line="276" w:lineRule="auto"/>
        <w:jc w:val="both"/>
        <w:rPr>
          <w:rFonts w:cstheme="minorHAnsi"/>
          <w:sz w:val="24"/>
          <w:szCs w:val="24"/>
        </w:rPr>
      </w:pPr>
      <w:r w:rsidRPr="00AD6B8E">
        <w:rPr>
          <w:rFonts w:cstheme="minorHAnsi"/>
          <w:sz w:val="24"/>
          <w:szCs w:val="24"/>
        </w:rPr>
        <w:t xml:space="preserve">doznanych przez dziecko urazów głowy,  </w:t>
      </w:r>
    </w:p>
    <w:p w:rsidR="004A5B48" w:rsidRPr="00AD6B8E" w:rsidRDefault="004A5B48" w:rsidP="00AD6B8E">
      <w:pPr>
        <w:pStyle w:val="Akapitzlist"/>
        <w:numPr>
          <w:ilvl w:val="0"/>
          <w:numId w:val="9"/>
        </w:numPr>
        <w:spacing w:line="276" w:lineRule="auto"/>
        <w:jc w:val="both"/>
        <w:rPr>
          <w:rFonts w:cstheme="minorHAnsi"/>
          <w:sz w:val="24"/>
          <w:szCs w:val="24"/>
        </w:rPr>
      </w:pPr>
      <w:r w:rsidRPr="00AD6B8E">
        <w:rPr>
          <w:rFonts w:cstheme="minorHAnsi"/>
          <w:sz w:val="24"/>
          <w:szCs w:val="24"/>
        </w:rPr>
        <w:t xml:space="preserve">niedożywienia (zwłaszcza w dwóch pierwszych latach życia),  </w:t>
      </w:r>
    </w:p>
    <w:p w:rsidR="004A5B48" w:rsidRPr="00AD6B8E" w:rsidRDefault="004A5B48" w:rsidP="00AD6B8E">
      <w:pPr>
        <w:pStyle w:val="Akapitzlist"/>
        <w:numPr>
          <w:ilvl w:val="0"/>
          <w:numId w:val="9"/>
        </w:numPr>
        <w:spacing w:line="276" w:lineRule="auto"/>
        <w:jc w:val="both"/>
        <w:rPr>
          <w:rFonts w:cstheme="minorHAnsi"/>
          <w:sz w:val="24"/>
          <w:szCs w:val="24"/>
        </w:rPr>
      </w:pPr>
      <w:r w:rsidRPr="00AD6B8E">
        <w:rPr>
          <w:rFonts w:cstheme="minorHAnsi"/>
          <w:sz w:val="24"/>
          <w:szCs w:val="24"/>
        </w:rPr>
        <w:t xml:space="preserve">doznanych urazów psychicznych,   </w:t>
      </w:r>
    </w:p>
    <w:p w:rsidR="004A5B48" w:rsidRPr="00AD6B8E" w:rsidRDefault="004A5B48" w:rsidP="00AD6B8E">
      <w:pPr>
        <w:pStyle w:val="Akapitzlist"/>
        <w:numPr>
          <w:ilvl w:val="0"/>
          <w:numId w:val="9"/>
        </w:numPr>
        <w:spacing w:line="276" w:lineRule="auto"/>
        <w:jc w:val="both"/>
        <w:rPr>
          <w:rFonts w:cstheme="minorHAnsi"/>
          <w:sz w:val="24"/>
          <w:szCs w:val="24"/>
        </w:rPr>
      </w:pPr>
      <w:r w:rsidRPr="00AD6B8E">
        <w:rPr>
          <w:rFonts w:cstheme="minorHAnsi"/>
          <w:sz w:val="24"/>
          <w:szCs w:val="24"/>
        </w:rPr>
        <w:t>braku odpowiedniej stymulacji.</w:t>
      </w:r>
    </w:p>
    <w:p w:rsidR="004A5B48" w:rsidRPr="00AD6B8E" w:rsidRDefault="004A5B48" w:rsidP="00AD6B8E">
      <w:pPr>
        <w:pStyle w:val="Akapitzlist"/>
        <w:spacing w:line="276" w:lineRule="auto"/>
        <w:ind w:left="2487"/>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Kiedy dotrą do nas sygnały, które mogą wskazywać na krzywdzenie dziecka, zadajemy  sobie  pytanie,  jak  dalej  postępować.  Konieczne  jest  wnikliwe  sprawdzenie  wszystkich  sygnałów, ponieważ ich zbagatelizowanie może narazić dziecko na         dalsze krzywdzenie. Z  drugiej  strony,  konieczna  jest  też  realna  ocena  sytuacji.    Gdy sygnały  tylko  pośrednio   wskazują na krzywdzenie dziecka, musimy je potwierdzić, aby mieć przesłanki do podjęcia  interwencji.</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Można tu mówić o kilku etapach postępowania:                                                                    </w:t>
      </w:r>
    </w:p>
    <w:p w:rsidR="004A5B48" w:rsidRPr="00AD6B8E" w:rsidRDefault="004A5B48" w:rsidP="00AD6B8E">
      <w:pPr>
        <w:pStyle w:val="Akapitzlist"/>
        <w:numPr>
          <w:ilvl w:val="0"/>
          <w:numId w:val="11"/>
        </w:numPr>
        <w:spacing w:line="276" w:lineRule="auto"/>
        <w:jc w:val="both"/>
        <w:rPr>
          <w:rFonts w:cstheme="minorHAnsi"/>
          <w:sz w:val="24"/>
          <w:szCs w:val="24"/>
        </w:rPr>
      </w:pPr>
      <w:r w:rsidRPr="00AD6B8E">
        <w:rPr>
          <w:rFonts w:cstheme="minorHAnsi"/>
          <w:sz w:val="24"/>
          <w:szCs w:val="24"/>
        </w:rPr>
        <w:t>rozpoznanie sygnałów, które mogą wskazywać na krzywdzenie dziecka,</w:t>
      </w:r>
    </w:p>
    <w:p w:rsidR="004A5B48" w:rsidRPr="00AD6B8E" w:rsidRDefault="004A5B48" w:rsidP="00AD6B8E">
      <w:pPr>
        <w:pStyle w:val="Akapitzlist"/>
        <w:numPr>
          <w:ilvl w:val="0"/>
          <w:numId w:val="11"/>
        </w:numPr>
        <w:spacing w:line="276" w:lineRule="auto"/>
        <w:jc w:val="both"/>
        <w:rPr>
          <w:rFonts w:cstheme="minorHAnsi"/>
          <w:sz w:val="24"/>
          <w:szCs w:val="24"/>
        </w:rPr>
      </w:pPr>
      <w:r w:rsidRPr="00AD6B8E">
        <w:rPr>
          <w:rFonts w:cstheme="minorHAnsi"/>
          <w:sz w:val="24"/>
          <w:szCs w:val="24"/>
        </w:rPr>
        <w:t xml:space="preserve">sprawdzanie sygnałów poprzez zbieranie dodatkowych informacji,   </w:t>
      </w:r>
    </w:p>
    <w:p w:rsidR="004A5B48" w:rsidRPr="00AD6B8E" w:rsidRDefault="004A5B48" w:rsidP="00AD6B8E">
      <w:pPr>
        <w:pStyle w:val="Akapitzlist"/>
        <w:numPr>
          <w:ilvl w:val="0"/>
          <w:numId w:val="11"/>
        </w:numPr>
        <w:spacing w:line="276" w:lineRule="auto"/>
        <w:jc w:val="both"/>
        <w:rPr>
          <w:rFonts w:cstheme="minorHAnsi"/>
          <w:sz w:val="24"/>
          <w:szCs w:val="24"/>
        </w:rPr>
      </w:pPr>
      <w:r w:rsidRPr="00AD6B8E">
        <w:rPr>
          <w:rFonts w:cstheme="minorHAnsi"/>
          <w:sz w:val="24"/>
          <w:szCs w:val="24"/>
        </w:rPr>
        <w:t xml:space="preserve">analiza zebranych informacji‐ diagnoza problemu krzywdzenia dziecka, </w:t>
      </w:r>
    </w:p>
    <w:p w:rsidR="004A5B48" w:rsidRPr="00AD6B8E" w:rsidRDefault="004A5B48" w:rsidP="00AD6B8E">
      <w:pPr>
        <w:pStyle w:val="Akapitzlist"/>
        <w:numPr>
          <w:ilvl w:val="0"/>
          <w:numId w:val="11"/>
        </w:numPr>
        <w:spacing w:line="276" w:lineRule="auto"/>
        <w:jc w:val="both"/>
        <w:rPr>
          <w:rFonts w:cstheme="minorHAnsi"/>
          <w:sz w:val="24"/>
          <w:szCs w:val="24"/>
        </w:rPr>
      </w:pPr>
      <w:r w:rsidRPr="00AD6B8E">
        <w:rPr>
          <w:rFonts w:cstheme="minorHAnsi"/>
          <w:sz w:val="24"/>
          <w:szCs w:val="24"/>
        </w:rPr>
        <w:t>zaplanowanie  i  przeprowadzenie  interwencji  w  przypadku  potwierdzenia  krzywdzenia dziecka.</w:t>
      </w:r>
    </w:p>
    <w:p w:rsidR="004A5B48" w:rsidRPr="00AD6B8E" w:rsidRDefault="004A5B48" w:rsidP="00AD6B8E">
      <w:pPr>
        <w:pStyle w:val="Akapitzlist"/>
        <w:spacing w:line="276" w:lineRule="auto"/>
        <w:ind w:left="1800"/>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O podejrzeniu stosowania przemocy wobec dziecka należy poinformować dyrektora przedszkola, a w przypadku jego nieobecności – zastępcę. Nauczyciel dostarcza sporządzona notatkę.</w:t>
      </w:r>
    </w:p>
    <w:p w:rsidR="004A5B48" w:rsidRPr="00AD6B8E" w:rsidRDefault="004A5B48" w:rsidP="00AD6B8E">
      <w:pPr>
        <w:pStyle w:val="Akapitzlist"/>
        <w:spacing w:line="276" w:lineRule="auto"/>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Zaproszenie rodzica do przedszkola przez dyrektora. W rozmowie z rodzicem trzeba poinformować o celu spotkania, np. wskazać, że dziecko zachowuje się niepokojąco, zgłasza trudności, dlatego warto byłoby się spotkać i porozmawiać o problemie. Termin i czas rozmowy należy dostosować do możliwości organizacyjnych rodzica, podkreślając, że zależy nam na tym, by było to jak najszybciej.</w:t>
      </w:r>
    </w:p>
    <w:p w:rsidR="004A5B48" w:rsidRPr="00AD6B8E" w:rsidRDefault="004A5B48" w:rsidP="00AD6B8E">
      <w:pPr>
        <w:pStyle w:val="Akapitzlist"/>
        <w:spacing w:line="276" w:lineRule="auto"/>
        <w:jc w:val="both"/>
        <w:rPr>
          <w:rFonts w:cstheme="minorHAnsi"/>
          <w:sz w:val="24"/>
          <w:szCs w:val="24"/>
        </w:rPr>
      </w:pPr>
    </w:p>
    <w:p w:rsidR="004A5B48" w:rsidRPr="00AD6B8E" w:rsidRDefault="004A5B48" w:rsidP="00AD6B8E">
      <w:pPr>
        <w:pStyle w:val="Akapitzlist"/>
        <w:numPr>
          <w:ilvl w:val="0"/>
          <w:numId w:val="2"/>
        </w:numPr>
        <w:spacing w:line="276" w:lineRule="auto"/>
        <w:jc w:val="both"/>
        <w:rPr>
          <w:rFonts w:cstheme="minorHAnsi"/>
          <w:sz w:val="24"/>
          <w:szCs w:val="24"/>
        </w:rPr>
      </w:pPr>
      <w:r w:rsidRPr="00AD6B8E">
        <w:rPr>
          <w:rFonts w:cstheme="minorHAnsi"/>
          <w:sz w:val="24"/>
          <w:szCs w:val="24"/>
        </w:rPr>
        <w:t xml:space="preserve">Działania prawne :  </w:t>
      </w:r>
    </w:p>
    <w:p w:rsidR="004A5B48" w:rsidRPr="00AD6B8E" w:rsidRDefault="004A5B48" w:rsidP="00AD6B8E">
      <w:pPr>
        <w:pStyle w:val="Akapitzlist"/>
        <w:spacing w:line="276" w:lineRule="auto"/>
        <w:jc w:val="both"/>
        <w:rPr>
          <w:rFonts w:cstheme="minorHAnsi"/>
          <w:sz w:val="24"/>
          <w:szCs w:val="24"/>
        </w:rPr>
      </w:pPr>
      <w:r w:rsidRPr="00AD6B8E">
        <w:rPr>
          <w:rFonts w:cstheme="minorHAnsi"/>
          <w:sz w:val="24"/>
          <w:szCs w:val="24"/>
        </w:rPr>
        <w:t xml:space="preserve">Działania interwencyjne mają na celu przygotowanie gruntu do udzielenia rodzinie różnych form pomocy: prawnej, psychologicznej, socjalnej, medycznej. Kto powinien realizować te działania?  </w:t>
      </w:r>
    </w:p>
    <w:p w:rsidR="004A5B48" w:rsidRPr="00AD6B8E" w:rsidRDefault="004A5B48" w:rsidP="00AD6B8E">
      <w:pPr>
        <w:pStyle w:val="Akapitzlist"/>
        <w:numPr>
          <w:ilvl w:val="0"/>
          <w:numId w:val="12"/>
        </w:numPr>
        <w:spacing w:line="276" w:lineRule="auto"/>
        <w:jc w:val="both"/>
        <w:rPr>
          <w:rFonts w:cstheme="minorHAnsi"/>
          <w:sz w:val="24"/>
          <w:szCs w:val="24"/>
        </w:rPr>
      </w:pPr>
      <w:r w:rsidRPr="00AD6B8E">
        <w:rPr>
          <w:rFonts w:cstheme="minorHAnsi"/>
          <w:sz w:val="24"/>
          <w:szCs w:val="24"/>
        </w:rPr>
        <w:t xml:space="preserve">Interwencję  powinna  zainicjować  osoba  (instytucja),  która  rozpoznała  sygnały  krzywdzenia dziecka.  </w:t>
      </w:r>
    </w:p>
    <w:p w:rsidR="004A5B48" w:rsidRPr="00AD6B8E" w:rsidRDefault="004A5B48" w:rsidP="00AD6B8E">
      <w:pPr>
        <w:pStyle w:val="Akapitzlist"/>
        <w:numPr>
          <w:ilvl w:val="0"/>
          <w:numId w:val="12"/>
        </w:numPr>
        <w:spacing w:line="276" w:lineRule="auto"/>
        <w:jc w:val="both"/>
        <w:rPr>
          <w:rFonts w:cstheme="minorHAnsi"/>
          <w:sz w:val="24"/>
          <w:szCs w:val="24"/>
        </w:rPr>
      </w:pPr>
      <w:r w:rsidRPr="00AD6B8E">
        <w:rPr>
          <w:rFonts w:cstheme="minorHAnsi"/>
          <w:sz w:val="24"/>
          <w:szCs w:val="24"/>
        </w:rPr>
        <w:t xml:space="preserve">W  poważniejszych  przypadkach  krzywdzenia  dziecka  konieczna  jest  współpraca  interdyscyplinarna, w którą powinni być zaangażowani pracownicy różnych instytucji  zajmujący się daną rodziną. W takiej sytuacji istotne jest, aby opracować wspólny  plan działania oraz zdecydować, kto będzie koordynował i monitorował przebieg  interwencji.   </w:t>
      </w:r>
    </w:p>
    <w:p w:rsidR="00AD6B8E" w:rsidRPr="00AD6B8E" w:rsidRDefault="004A5B48" w:rsidP="00AD6B8E">
      <w:pPr>
        <w:pStyle w:val="Akapitzlist"/>
        <w:numPr>
          <w:ilvl w:val="0"/>
          <w:numId w:val="12"/>
        </w:numPr>
        <w:spacing w:line="276" w:lineRule="auto"/>
        <w:jc w:val="both"/>
        <w:rPr>
          <w:rFonts w:cstheme="minorHAnsi"/>
          <w:sz w:val="24"/>
          <w:szCs w:val="24"/>
        </w:rPr>
      </w:pPr>
      <w:r w:rsidRPr="00AD6B8E">
        <w:rPr>
          <w:rFonts w:cstheme="minorHAnsi"/>
          <w:sz w:val="24"/>
          <w:szCs w:val="24"/>
        </w:rPr>
        <w:lastRenderedPageBreak/>
        <w:t>Sama interwencja, szczególnie jeżeli ogranicza się ona do działań prawnych,  nie  wystarczy,  aby  rozwiązać  problemy  rodziny.  Konieczna  jest  pomoc,  często  długofalowa i monitorowanie zmieniającej się sytuacji w rodzinie.</w:t>
      </w:r>
    </w:p>
    <w:p w:rsidR="00AD6B8E" w:rsidRPr="00AD6B8E" w:rsidRDefault="00AD6B8E" w:rsidP="00AD6B8E">
      <w:pPr>
        <w:pStyle w:val="Akapitzlist"/>
        <w:spacing w:line="276" w:lineRule="auto"/>
        <w:ind w:left="1440"/>
        <w:jc w:val="both"/>
        <w:rPr>
          <w:rFonts w:cstheme="minorHAnsi"/>
          <w:sz w:val="24"/>
          <w:szCs w:val="24"/>
        </w:rPr>
      </w:pPr>
    </w:p>
    <w:p w:rsidR="00AD6B8E" w:rsidRPr="00AD6B8E" w:rsidRDefault="00AD6B8E" w:rsidP="00AD6B8E">
      <w:pPr>
        <w:pStyle w:val="Akapitzlist"/>
        <w:numPr>
          <w:ilvl w:val="0"/>
          <w:numId w:val="2"/>
        </w:numPr>
        <w:spacing w:line="276" w:lineRule="auto"/>
        <w:jc w:val="both"/>
        <w:rPr>
          <w:rFonts w:cstheme="minorHAnsi"/>
          <w:sz w:val="24"/>
          <w:szCs w:val="24"/>
        </w:rPr>
      </w:pPr>
      <w:r w:rsidRPr="00AD6B8E">
        <w:rPr>
          <w:rFonts w:cstheme="minorHAnsi"/>
          <w:sz w:val="24"/>
          <w:szCs w:val="24"/>
        </w:rPr>
        <w:t xml:space="preserve">Wypełnienie formularza „Niebieska Karta – A”. Przedszkole wypełnia części I–XV, XVII i XIX–XXI formularza A. Rozmowę z dzieckiem, które jest dotknięte przemocą w rodzinie, przeprowadza się w warunkach gwarantujących swobodę wypowiedzi i poszanowanie godności dziecka oraz zapewniających mu bezpieczeństwo, w obecności rodzica, który nie jest sprawcą przemocy, lub innej najbliższej mu osoby. </w:t>
      </w:r>
    </w:p>
    <w:p w:rsidR="00AD6B8E" w:rsidRPr="00AD6B8E" w:rsidRDefault="00AD6B8E" w:rsidP="00AD6B8E">
      <w:pPr>
        <w:pStyle w:val="Akapitzlist"/>
        <w:spacing w:line="276" w:lineRule="auto"/>
        <w:jc w:val="both"/>
        <w:rPr>
          <w:rFonts w:cstheme="minorHAnsi"/>
          <w:sz w:val="24"/>
          <w:szCs w:val="24"/>
        </w:rPr>
      </w:pPr>
    </w:p>
    <w:p w:rsidR="00AD6B8E" w:rsidRPr="00AD6B8E" w:rsidRDefault="00AD6B8E" w:rsidP="00AD6B8E">
      <w:pPr>
        <w:pStyle w:val="Akapitzlist"/>
        <w:numPr>
          <w:ilvl w:val="0"/>
          <w:numId w:val="2"/>
        </w:numPr>
        <w:spacing w:line="276" w:lineRule="auto"/>
        <w:jc w:val="both"/>
        <w:rPr>
          <w:rFonts w:cstheme="minorHAnsi"/>
          <w:sz w:val="24"/>
          <w:szCs w:val="24"/>
        </w:rPr>
      </w:pPr>
      <w:r w:rsidRPr="00AD6B8E">
        <w:rPr>
          <w:rFonts w:cstheme="minorHAnsi"/>
          <w:sz w:val="24"/>
          <w:szCs w:val="24"/>
        </w:rPr>
        <w:t>Przekazanie formularza „Niebieska Karta – B” osobie reprezentującej dziecko (rodzicowi, który nie jest sprawcą przemocy, opiekunowi lub osobie zgłaszającej przemoc wobec dziecka).</w:t>
      </w:r>
    </w:p>
    <w:p w:rsidR="00AD6B8E" w:rsidRPr="00AD6B8E" w:rsidRDefault="00AD6B8E" w:rsidP="00AD6B8E">
      <w:pPr>
        <w:pStyle w:val="Akapitzlist"/>
        <w:numPr>
          <w:ilvl w:val="0"/>
          <w:numId w:val="2"/>
        </w:numPr>
        <w:spacing w:line="276" w:lineRule="auto"/>
        <w:jc w:val="both"/>
        <w:rPr>
          <w:rFonts w:cstheme="minorHAnsi"/>
          <w:sz w:val="24"/>
          <w:szCs w:val="24"/>
        </w:rPr>
      </w:pPr>
      <w:r w:rsidRPr="00AD6B8E">
        <w:rPr>
          <w:rFonts w:cstheme="minorHAnsi"/>
          <w:sz w:val="24"/>
          <w:szCs w:val="24"/>
        </w:rPr>
        <w:t xml:space="preserve">Przekazanie oryginału formularza „Niebieska Karta – A” przewodniczącemu zespołu interdyscyplinarnemu. Oryginał formularza przekazuje się niezwłocznie, nie później niż w ciągu 7 dni od momentu wszczęcia procedury. Kopia pozostaje w dokumentacji przedszkola. </w:t>
      </w:r>
    </w:p>
    <w:p w:rsidR="00AD6B8E" w:rsidRPr="00AD6B8E" w:rsidRDefault="00AD6B8E" w:rsidP="00AD6B8E">
      <w:pPr>
        <w:pStyle w:val="Akapitzlist"/>
        <w:spacing w:line="276" w:lineRule="auto"/>
        <w:jc w:val="both"/>
        <w:rPr>
          <w:rFonts w:cstheme="minorHAnsi"/>
          <w:sz w:val="24"/>
          <w:szCs w:val="24"/>
        </w:rPr>
      </w:pPr>
    </w:p>
    <w:p w:rsidR="00AD6B8E" w:rsidRPr="00AD6B8E" w:rsidRDefault="00AD6B8E" w:rsidP="00AD6B8E">
      <w:pPr>
        <w:pStyle w:val="Akapitzlist"/>
        <w:numPr>
          <w:ilvl w:val="0"/>
          <w:numId w:val="2"/>
        </w:numPr>
        <w:spacing w:line="276" w:lineRule="auto"/>
        <w:jc w:val="both"/>
        <w:rPr>
          <w:rFonts w:cstheme="minorHAnsi"/>
          <w:sz w:val="24"/>
          <w:szCs w:val="24"/>
        </w:rPr>
      </w:pPr>
      <w:r w:rsidRPr="00AD6B8E">
        <w:rPr>
          <w:rFonts w:cstheme="minorHAnsi"/>
          <w:sz w:val="24"/>
          <w:szCs w:val="24"/>
        </w:rPr>
        <w:t xml:space="preserve">Objęcie dziecka i rodziny pomocą psychologiczno-pedagogiczną w przedszkolu zgodnie z obowiązującymi przepisami. </w:t>
      </w:r>
    </w:p>
    <w:p w:rsidR="00AD6B8E" w:rsidRPr="00AD6B8E" w:rsidRDefault="00AD6B8E" w:rsidP="00AD6B8E">
      <w:pPr>
        <w:pStyle w:val="Akapitzlist"/>
        <w:spacing w:line="276" w:lineRule="auto"/>
        <w:jc w:val="both"/>
        <w:rPr>
          <w:rFonts w:cstheme="minorHAnsi"/>
          <w:sz w:val="24"/>
          <w:szCs w:val="24"/>
        </w:rPr>
      </w:pPr>
    </w:p>
    <w:p w:rsidR="00AD6B8E" w:rsidRPr="00AD6B8E" w:rsidRDefault="00AD6B8E" w:rsidP="00AD6B8E">
      <w:pPr>
        <w:pStyle w:val="Akapitzlist"/>
        <w:numPr>
          <w:ilvl w:val="0"/>
          <w:numId w:val="2"/>
        </w:numPr>
        <w:spacing w:line="276" w:lineRule="auto"/>
        <w:jc w:val="both"/>
        <w:rPr>
          <w:rFonts w:cstheme="minorHAnsi"/>
          <w:sz w:val="24"/>
          <w:szCs w:val="24"/>
        </w:rPr>
      </w:pPr>
      <w:r w:rsidRPr="00AD6B8E">
        <w:rPr>
          <w:rFonts w:cstheme="minorHAnsi"/>
          <w:sz w:val="24"/>
          <w:szCs w:val="24"/>
        </w:rPr>
        <w:t>Ponowne wypełnienie formularza „Niebieska Karta – A”. Jeśli osoba, wobec której zachodzi podejrzenie, że stosuje przemoc w rodzinie, dopuściła się ponownie przemocy, należy ponownie wypełnić formularz A w zakresie niezbędnym do udokumentowania nowego zdarzenia i przesłać go do przewodniczącego zespołu interdyscyplinarnego.</w:t>
      </w:r>
    </w:p>
    <w:p w:rsidR="00AD6B8E" w:rsidRPr="00AD6B8E" w:rsidRDefault="00AD6B8E" w:rsidP="00AD6B8E">
      <w:pPr>
        <w:pStyle w:val="Akapitzlist"/>
        <w:spacing w:line="276" w:lineRule="auto"/>
        <w:jc w:val="both"/>
        <w:rPr>
          <w:rFonts w:cstheme="minorHAnsi"/>
          <w:sz w:val="24"/>
          <w:szCs w:val="24"/>
        </w:rPr>
      </w:pPr>
    </w:p>
    <w:p w:rsidR="00AD6B8E" w:rsidRPr="00AD6B8E" w:rsidRDefault="00AD6B8E" w:rsidP="00AD6B8E">
      <w:pPr>
        <w:pStyle w:val="Akapitzlist"/>
        <w:spacing w:line="276" w:lineRule="auto"/>
        <w:jc w:val="both"/>
        <w:rPr>
          <w:rFonts w:cstheme="minorHAnsi"/>
          <w:sz w:val="24"/>
          <w:szCs w:val="24"/>
        </w:rPr>
      </w:pPr>
      <w:r w:rsidRPr="00AD6B8E">
        <w:rPr>
          <w:rFonts w:cstheme="minorHAnsi"/>
          <w:sz w:val="24"/>
          <w:szCs w:val="24"/>
        </w:rPr>
        <w:t>Procedura obowiązuje z dniem wejścia zarządzenia.</w:t>
      </w:r>
    </w:p>
    <w:p w:rsidR="004A5B48" w:rsidRDefault="004A5B48" w:rsidP="004A5B48">
      <w:pPr>
        <w:spacing w:line="360" w:lineRule="auto"/>
        <w:contextualSpacing/>
        <w:jc w:val="both"/>
        <w:rPr>
          <w:rFonts w:ascii="Times New Roman" w:hAnsi="Times New Roman" w:cs="Times New Roman"/>
          <w:sz w:val="24"/>
        </w:rPr>
      </w:pPr>
    </w:p>
    <w:p w:rsidR="00FB4A0A" w:rsidRDefault="00FB4A0A"/>
    <w:sectPr w:rsidR="00FB4A0A" w:rsidSect="00F83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2B2"/>
    <w:multiLevelType w:val="hybridMultilevel"/>
    <w:tmpl w:val="C57C9782"/>
    <w:lvl w:ilvl="0" w:tplc="0415000B">
      <w:start w:val="1"/>
      <w:numFmt w:val="bullet"/>
      <w:lvlText w:val=""/>
      <w:lvlJc w:val="left"/>
      <w:pPr>
        <w:ind w:left="2487" w:hanging="360"/>
      </w:pPr>
      <w:rPr>
        <w:rFonts w:ascii="Wingdings" w:hAnsi="Wingding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
    <w:nsid w:val="18814624"/>
    <w:multiLevelType w:val="hybridMultilevel"/>
    <w:tmpl w:val="4A3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07181F"/>
    <w:multiLevelType w:val="hybridMultilevel"/>
    <w:tmpl w:val="A0EE7C9E"/>
    <w:lvl w:ilvl="0" w:tplc="DED2B2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07E48A3"/>
    <w:multiLevelType w:val="hybridMultilevel"/>
    <w:tmpl w:val="8B248706"/>
    <w:lvl w:ilvl="0" w:tplc="D1E26394">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8CD0B8C"/>
    <w:multiLevelType w:val="hybridMultilevel"/>
    <w:tmpl w:val="8C1EFA54"/>
    <w:lvl w:ilvl="0" w:tplc="CBCA8000">
      <w:start w:val="1"/>
      <w:numFmt w:val="bullet"/>
      <w:lvlText w:val="•"/>
      <w:lvlJc w:val="left"/>
      <w:pPr>
        <w:ind w:left="1440" w:hanging="360"/>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BC96ACE"/>
    <w:multiLevelType w:val="hybridMultilevel"/>
    <w:tmpl w:val="526EA69E"/>
    <w:lvl w:ilvl="0" w:tplc="0415000B">
      <w:start w:val="1"/>
      <w:numFmt w:val="bullet"/>
      <w:lvlText w:val=""/>
      <w:lvlJc w:val="left"/>
      <w:pPr>
        <w:ind w:left="2487" w:hanging="360"/>
      </w:pPr>
      <w:rPr>
        <w:rFonts w:ascii="Wingdings" w:hAnsi="Wingding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
    <w:nsid w:val="42237924"/>
    <w:multiLevelType w:val="hybridMultilevel"/>
    <w:tmpl w:val="410A7FCC"/>
    <w:lvl w:ilvl="0" w:tplc="0415000B">
      <w:start w:val="1"/>
      <w:numFmt w:val="bullet"/>
      <w:lvlText w:val=""/>
      <w:lvlJc w:val="left"/>
      <w:pPr>
        <w:ind w:left="2487" w:hanging="360"/>
      </w:pPr>
      <w:rPr>
        <w:rFonts w:ascii="Wingdings" w:hAnsi="Wingding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
    <w:nsid w:val="4C8D1401"/>
    <w:multiLevelType w:val="hybridMultilevel"/>
    <w:tmpl w:val="CC58E4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E13665D"/>
    <w:multiLevelType w:val="hybridMultilevel"/>
    <w:tmpl w:val="08782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733B79"/>
    <w:multiLevelType w:val="hybridMultilevel"/>
    <w:tmpl w:val="8AFED526"/>
    <w:lvl w:ilvl="0" w:tplc="CBCA8000">
      <w:start w:val="1"/>
      <w:numFmt w:val="bullet"/>
      <w:lvlText w:val="•"/>
      <w:lvlJc w:val="left"/>
      <w:pPr>
        <w:ind w:left="1800" w:hanging="360"/>
      </w:pPr>
      <w:rPr>
        <w:rFonts w:ascii="Times New Roman" w:eastAsiaTheme="minorHAns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7C6500CE"/>
    <w:multiLevelType w:val="hybridMultilevel"/>
    <w:tmpl w:val="1C9E4FC4"/>
    <w:lvl w:ilvl="0" w:tplc="CBCA8000">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7D6447D0"/>
    <w:multiLevelType w:val="hybridMultilevel"/>
    <w:tmpl w:val="6E808BF6"/>
    <w:lvl w:ilvl="0" w:tplc="0415000B">
      <w:start w:val="1"/>
      <w:numFmt w:val="bullet"/>
      <w:lvlText w:val=""/>
      <w:lvlJc w:val="left"/>
      <w:pPr>
        <w:ind w:left="2203" w:hanging="360"/>
      </w:pPr>
      <w:rPr>
        <w:rFonts w:ascii="Wingdings" w:hAnsi="Wingdings"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11"/>
  </w:num>
  <w:num w:numId="6">
    <w:abstractNumId w:val="5"/>
  </w:num>
  <w:num w:numId="7">
    <w:abstractNumId w:val="6"/>
  </w:num>
  <w:num w:numId="8">
    <w:abstractNumId w:val="3"/>
  </w:num>
  <w:num w:numId="9">
    <w:abstractNumId w:val="0"/>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5B48"/>
    <w:rsid w:val="004A5B48"/>
    <w:rsid w:val="009C18CD"/>
    <w:rsid w:val="00AD6B8E"/>
    <w:rsid w:val="00C556A4"/>
    <w:rsid w:val="00F8316F"/>
    <w:rsid w:val="00FB4A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B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B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1267</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Trzcińska</dc:creator>
  <cp:keywords/>
  <dc:description/>
  <cp:lastModifiedBy>Ewelina</cp:lastModifiedBy>
  <cp:revision>3</cp:revision>
  <dcterms:created xsi:type="dcterms:W3CDTF">2019-12-10T17:30:00Z</dcterms:created>
  <dcterms:modified xsi:type="dcterms:W3CDTF">2020-02-16T20:13:00Z</dcterms:modified>
</cp:coreProperties>
</file>